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V 399</w:t>
      </w:r>
    </w:p>
    <w:p>
      <w:r>
        <w:t>Bundesgericht (BGE), 2014-08-22, FR</w:t>
      </w:r>
    </w:p>
    <w:p>
      <w:r>
        <w:rPr>
          <w:b/>
        </w:rPr>
        <w:t xml:space="preserve">Quelle: </w:t>
      </w:r>
      <w:r>
        <w:t>https://mcp.opencaselaw.ch/entscheid/bge_140 V 399</w:t>
      </w:r>
    </w:p>
    <w:p>
      <w:r>
        <w:t>FR: ATF 140 V 399</w:t>
      </w:r>
    </w:p>
    <w:p>
      <w:r>
        <w:t>IT: DTF 140 V 399</w:t>
      </w:r>
    </w:p>
    <w:p>
      <w:pPr>
        <w:pStyle w:val="Heading2"/>
      </w:pPr>
      <w:r>
        <w:t>Regeste</w:t>
      </w:r>
    </w:p>
    <w:p>
      <w:r>
        <w:t>Regeste Art. 29 Abs. 2 BV; Art. 34a Abs. 1 BVG; Art. 24 Abs. 2 zweiter Satz BVV 2; Kürzung einer Invalidenrente der beruflichen Vorsorge zufolge Überentschädigung; zumutbarerweise noch erzielbares Ersatzeinkommen. Vorgehensweise, wenn die Vorsorgeeinrichtung die versicherte Person nicht zu den persönlichen und arbeitsmarktlichen Verhältnissen anhört (E. 5.4).</w:t>
      </w:r>
    </w:p>
    <w:p>
      <w:pPr>
        <w:pStyle w:val="Heading2"/>
      </w:pPr>
      <w:r>
        <w:t>Erwägungen</w:t>
      </w:r>
    </w:p>
    <w:p>
      <w:r>
        <w:rPr>
          <w:b/>
        </w:rPr>
        <w:t>E. 5.1</w:t>
      </w:r>
    </w:p>
    <w:p>
      <w:r>
        <w:t>Dans un second temps, il convient d'examiner si le droit d'être entendu du recourant a été violé, en tant qu'il n'aurait pas été invité à se déterminer au sujet de la prise en compte dans le calcul de surindemnisation du revenu d'invalide retenu par l'assurance-invalidité au titre de revenu hypothétique.</w:t>
      </w:r>
    </w:p>
    <w:p>
      <w:r>
        <w:rPr>
          <w:b/>
        </w:rPr>
        <w:t>E. 5.2.1</w:t>
      </w:r>
    </w:p>
    <w:p>
      <w:r>
        <w:t>Entre le premier pilier (assurance-invalidité) et le deuxième pilier (prévoyance professionnelle), il existe un lien fonctionnel qui permet, d'une part, d'assurer une coordination matérielle étendue entre le premier et le deuxième pilier et, d'autre part, de libérer autant que possible les organes de la prévoyance professionnelle obligatoire d'importantes et coûteuses démarches portant sur les conditions, l'étendue et le début du droit aux prestations d'invalidité du deuxième pilier. Comme pour le revenu sans invalidité et le gain annuel dont on peut présumer que l'intéressé est privé, il y a lieu de partir du principe de la congruence entre le revenu d'invalide et le revenu que l'intéressé pourrait encore raisonnablement réaliser au sens de l'art. 24 al. 2 in fine de l'ordonnance du 18 avril 1984 sur la prévoyance professionnelle vieillesse, survivants et invalidité (OPP 2; RS 831.441. 1). Ce principe de congruence implique la présomption que le revenu d'invalide déterminé par l'organe de l'assurance-invalidité correspond au revenu que l'assuré invalide pourrait encore raisonnablement réaliser ( ATF 134 V 64 consid. 4.1.2 et 4.1.3 p. 70).</w:t>
      </w:r>
    </w:p>
    <w:p>
      <w:r>
        <w:rPr>
          <w:b/>
        </w:rPr>
        <w:t>E. 5.2.2</w:t>
      </w:r>
    </w:p>
    <w:p>
      <w:r>
        <w:t>Cela étant, le revenu d'invalide fixé par les organes de l'assurance-invalidité est déterminé compte tenu d'un marché du travail BGE 140 V 399 S. 402 équilibré ( art. 16 LPGA [RS 830.1]);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(arrêt du Tribunal fédéral des assurances I 198/97 du 7 juillet 1998 consid. 3b et les références, in VSI 1998 p. 293). Le revenu que l'assuré invalide pourrait encore raisonnablement réaliser au sens de l'art. 24 al. 2 in fine OPP 2 est en revanche fondé sur le principe de l'exigibilité, qui requiert que soit pris en considération l'ensemble des circonstances objectives et subjectives du cas particulier, y compris au niveau du marché du travail. Le terme "subjectif" ne signifie toutefois pas que c'est l'appréciation subjective de l'intéressé sur ce qui peut encore être raisonnablement exigé de lui qui est déterminante. Lorsqu'il s'agit d'apprécier les circonstances subjectives et les possibilités qui sont effectivement données à l'assuré concerné, il y a également lieu de procéder à un examen de la situation d'un point de vue objectif. En conséquence, l'institution de prévoyance qui entend réduire les prestations d'invalidité relevant du régime obligatoire doit préalablement entendre l'assuré sur les circonstances personnelles et liées au marché du travail qui le limiteraient ou l'empêcheraient de réaliser un revenu résiduel aussi élevé que celui fixé par les organes de l'assurance-invalidité. Les circonstances subjectives qui doivent être prises en considération sous l'angle de l'exigibilité sont toutes les particularités qui, dans le cadre d'un examen objectif de la situation, jouent un rôle déterminant quant aux chances effectives de l'assuré concerné de trouver une place de travail adaptée et exigible sur le marché du travail entrant en considération pour lui. D'un point de vue procédural, le droit d'être entendu accordé à l'assuré a pour corollaire un devoir de collaboration de sa part. Ainsi lui incombe-t-il d'alléguer, de motiver et, dans la mesure du possible, d'offrir les preuves - attestant notamment de ses recherches d'emploi infructueuses - quant aux circonstances personnelles et aux conditions concrètes du marché du travail qui l'empêcheraient de réaliser un revenu résiduel équivalant au revenu d'invalide retenu par les organes de l'assurance-invalidité ( ATF 134 V 64 consid. 4.2.1 et 4.2.2 p. 71).</w:t>
      </w:r>
    </w:p>
    <w:p>
      <w:r>
        <w:rPr>
          <w:b/>
        </w:rPr>
        <w:t>E. 5.2.3</w:t>
      </w:r>
    </w:p>
    <w:p>
      <w:r>
        <w:t>La jurisprudence a précisé par la suite que la réduction d'une rente d'invalidité de la prévoyance professionnelle pour cause de surindemnisation ne se résume pas à une opération strictement BGE 140 V 399 S. 403 mathématique. Au contraire, il appartient à l'institution de prévoyance d'intégrer à la démarche l'assuré concerné, afin d'examiner s'il peut être dérogé aux critères retenus par les organes de l'assurance-invalidité, puis seulement ensuite de se prononcer sur la base de l'appréciation qu'elle fait de la situation. Dans la mesure toutefois où la procédure d'action de l' art. 73 LPP n'a pas pour point de départ une décision et où le droit fédéral ne prescrit aucune règle particulière sur la procédure à suivre en cas de surindemnisation - la LPGA n'étant pas applicable au domaine de la prévoyance professionnelle -, l'institution de prévoyance a, dans les limites de ce qui est admissible constitutionnellement, toute liberté pour définir les modalités de la participation de l'assuré. Il lui appartient à cet égard de procéder à une pesée des intérêts en présence à la lumière de la situation concrète; le principe de la proportionnalité exige néanmoins de choisir une solution qui apparaît adaptée aux circonstances. Le droit d'être entendu ne saurait en tout état de cause être vidé de son contenu; la communication de la réduction de la rente par le biais d'un simple courrier ne saurait ainsi suffire. Cette exigence sera en règle générale respectée lorsque l'assuré concerné aura été expressément invité à s'exprimer sur la possibilité de réaliser un revenu résiduel aussi élevé que celui fixé par les organes de l'assurance-invalidité, l'institution de prévoyance demeurant libre - même s'il est recommandé de le faire - de fixer un délai raisonnable pour prendre position. Le fait de permettre à l'assuré de s'exprimer est suffisant; l'institution de prévoyance n'est pas tenue de veiller à ce que l'assuré exerce effectivement son droit. Eu égard à l'interdiction du formalisme excessif, il lui appartient néanmoins de tenir compte d'office des circonstances qui ressortent du dossier ( ATF 140 I 50 consid. 4.1 p. 54 et les références).</w:t>
      </w:r>
    </w:p>
    <w:p>
      <w:r>
        <w:rPr>
          <w:b/>
        </w:rPr>
        <w:t>E. 5.3</w:t>
      </w:r>
    </w:p>
    <w:p>
      <w:r>
        <w:t>Il n'est pas contestable que les courriers adressés les 22 octobre 2012 et 5 février 2013 par la Caisse de prévoyance intimée au recourant ne contenaient aucune explication quant au montant du revenu hypothétique pris en considération dans le calcul de surindemnisation ni invitation expresse à s'exprimer sur cette question. En ce sens, la Caisse de prévoyance intimée n'a pas respecté les obligations fixées par la jurisprudence précitée.</w:t>
      </w:r>
    </w:p>
    <w:p>
      <w:r>
        <w:rPr>
          <w:b/>
        </w:rPr>
        <w:t>E. 5.4.1</w:t>
      </w:r>
    </w:p>
    <w:p>
      <w:r>
        <w:t>Dans la mesure où le domaine de la prévoyance professionnelle n'est pas soumis aux règles générales de la procédure administrative, il n'est pas envisageable que la cause soit renvoyée à BGE 140 V 399 S. 404 l'institution de prévoyance pour qu'elle répare une éventuelle violation du droit d'être entendu ( ATF 129 V 450 consid. 2 p. 452). Ainsi, lorsque la partie demanderesse ouvre action contre une institution de prévoyance, elle ne peut se contenter d'invoquer une violation de son droit d'être entendue; elle doit bien plutôt faire valoir des conclusions (en principe condamnatoires) sur le fond et les faits invoqués à l'appui de celles-ci. Lorsque le litige a plus particulièrement pour objet la question du montant du revenu hypothétique d'invalide à prendre en compte dans le calcul de surindemnisation, la jurisprudence pose la présomption d'équivalence entre le revenu d'invalide déterminé par les organes de l'assurance-invalidité et le revenu raisonnablement réalisable (cf. supra consid. 5.2.1). Il appartient par conséquent à la partie demanderesse à l'action, conformément à son devoir de collaborer à l'établissement des faits ( ATF 139 V 176 consid. 5.2 p. 185; ATF 138 V 86 consid. 5.2.3 p. 97 et les références), de faire valoir dans le cadre de sa demande en justice l'ensemble des éléments factuels et probatoires qu'elle estime propre à remettre en cause cette présomption (preuve du contraire; cf. arrêt 9C_673/2007 du 9 octobre 2008 consid. 4.3).</w:t>
      </w:r>
    </w:p>
    <w:p>
      <w:r>
        <w:rPr>
          <w:b/>
        </w:rPr>
        <w:t>E. 5.4.2</w:t>
      </w:r>
    </w:p>
    <w:p>
      <w:r>
        <w:t>Lorsque le dépôt de la demande est la conséquence du non respect par l'institution de prévoyance des obligations fixées par la jurisprudence en matière de droit d'être entendu, mais que l'échange d'écritures permet à la partie demanderesse de prendre connaissance des éléments à l'appui du calcul de surindemnisation, celle-ci doit, si elle est convaincue par les explications reçues, pouvoir retirer sa demande moyennant l'allocation d'une indemnité de dépens à la charge de l'institution de prévoyance défenderesse, conformément au principe communément admis en procédure selon lequel les frais inutiles doivent être supportés par la partie qui les a occasionnés. En revanche, si la partie demanderesse maintient sa demande, comme ce fut le cas en l'espèce, et requiert, malgré les explications de l'institution de prévoyance, une décision sur le fond de la part de l'autorité saisie, elle doit assumer les risques de la procédure et ne peut plus prétendre, quelle que soit l'issue de la procédure, à l'allocation d'une indemnité de dépens à titre de réparation de la violation du droit d'être entendu.</w:t>
      </w:r>
    </w:p>
    <w:p>
      <w:r>
        <w:rPr>
          <w:b/>
        </w:rPr>
        <w:t>E. 5.5</w:t>
      </w:r>
    </w:p>
    <w:p>
      <w:r>
        <w:t>En l'espèce, l'affaire a fait l'objet en procédure cantonale de quatre échanges d'écritures, au cours desquels le recourant a pu exposer son point de vue et prendre connaissance des explications données par l'institution intimée. A bon droit, la juridiction cantonale a BGE 140 V 399 S. 405 considéré que le recourant avait pu pleinement exercer devant elle son droit d'être entendu. C'est en vain que le recourant prétend que les arguments qu'il avait avancés n'avaient nullement pour vocation d'être exhaustifs et qu'il ne pouvait s'attendre à devoir faire valoir, à ce stade de la procédure et compte tenu de l'évolution des débats, l'ensemble de ses objections. Comme cela a été mis en évidence précédemment, il appartenait au recourant, indépendamment d'une éventuelle violation de son droit d'être entendu commise par l'institution intimée, d'alléguer (aussi bien dans le cadre de la demande initiale que de ses écritures subséquentes) l'ensemble des faits et moyens de preuves qu'il estimait nécessaires pour que la juridiction cantonale statue dans le sens des conclusions condamnatoires qu'il avait prises. Ayant manqué à son devoir d'allégation quant au revenu hypothétique d'invalide, il doit en supporter les conséquences, étant précisé que la maxime inquisitoire ne saurait exiger de l'autorité saisie qu'elle examine d'office toutes les hypothèses envisageables ou qu'elle interpelle la partie demanderesse pour qu'elle complète sa demande sur un point précis.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